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3B" w:rsidRPr="00A83FD2" w:rsidRDefault="000D2B76" w:rsidP="006E5157">
      <w:pPr>
        <w:pStyle w:val="BodyText2"/>
        <w:rPr>
          <w:rFonts w:ascii="Calibri" w:hAnsi="Calibri"/>
          <w:sz w:val="22"/>
          <w:szCs w:val="22"/>
          <w:lang w:val="es-ES"/>
        </w:rPr>
      </w:pPr>
      <w:r w:rsidRPr="004E450D">
        <w:rPr>
          <w:rFonts w:ascii="Calibri" w:hAnsi="Calibri"/>
          <w:noProof/>
          <w:sz w:val="22"/>
          <w:szCs w:val="22"/>
          <w:lang w:val="es-E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-133350</wp:posOffset>
                </wp:positionV>
                <wp:extent cx="554990" cy="645795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65" w:rsidRDefault="000D2B76">
                            <w:r>
                              <w:rPr>
                                <w:noProof/>
                                <w:lang w:val="es-ES" w:eastAsia="ja-JP"/>
                              </w:rPr>
                              <w:drawing>
                                <wp:inline distT="0" distB="0" distL="0" distR="0">
                                  <wp:extent cx="368300" cy="558800"/>
                                  <wp:effectExtent l="0" t="0" r="0" b="0"/>
                                  <wp:docPr id="3" name="Picture 1" descr="ArrowG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rowG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-10.5pt;width:43.7pt;height:5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mY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7jmCQJWEowzUg8T2I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YEFCvijaweQblKgrJA&#10;hDDuYNFI9R2jAUZHhvW3HVUMo/a9APUnISF21rgNiDWCjTq3bM4tVJQAlWGD0bRcmWk+7XrFtw1E&#10;mt6bkDfwYmru1PyU1eGdwXhwpA6jzM6f873zehq4y18AAAD//wMAUEsDBBQABgAIAAAAIQBJCgQ/&#10;3wAAAAsBAAAPAAAAZHJzL2Rvd25yZXYueG1sTI/BTsMwEETvSPyDtUjcUjshlBLiVAjEFdRCK3Fz&#10;420SEa+j2G3C37Oc4DajHc2+Kdez68UZx9B50pAuFAik2tuOGg0f7y/JCkSIhqzpPaGGbwywri4v&#10;SlNYP9EGz9vYCC6hUBgNbYxDIWWoW3QmLPyAxLejH52JbMdG2tFMXO56mSm1lM50xB9aM+BTi/XX&#10;9uQ07F6Pn/tcvTXP7naY/KwkuXup9fXV/PgAIuIc/8Lwi8/oUDHTwZ/IBtFrSNKbjMdEVlnKgiNJ&#10;ni9BHDSs1B3IqpT/N1Q/AAAA//8DAFBLAQItABQABgAIAAAAIQC2gziS/gAAAOEBAAATAAAAAAAA&#10;AAAAAAAAAAAAAABbQ29udGVudF9UeXBlc10ueG1sUEsBAi0AFAAGAAgAAAAhADj9If/WAAAAlAEA&#10;AAsAAAAAAAAAAAAAAAAALwEAAF9yZWxzLy5yZWxzUEsBAi0AFAAGAAgAAAAhAKgVWZizAgAAuAUA&#10;AA4AAAAAAAAAAAAAAAAALgIAAGRycy9lMm9Eb2MueG1sUEsBAi0AFAAGAAgAAAAhAEkKBD/fAAAA&#10;CwEAAA8AAAAAAAAAAAAAAAAADQUAAGRycy9kb3ducmV2LnhtbFBLBQYAAAAABAAEAPMAAAAZBgAA&#10;AAA=&#10;" filled="f" stroked="f">
                <v:textbox>
                  <w:txbxContent>
                    <w:p w:rsidR="003E7A65" w:rsidRDefault="000D2B76">
                      <w:r>
                        <w:rPr>
                          <w:noProof/>
                          <w:lang w:val="es-ES" w:eastAsia="ja-JP"/>
                        </w:rPr>
                        <w:drawing>
                          <wp:inline distT="0" distB="0" distL="0" distR="0">
                            <wp:extent cx="368300" cy="558800"/>
                            <wp:effectExtent l="0" t="0" r="0" b="0"/>
                            <wp:docPr id="3" name="Picture 1" descr="ArrowG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rowG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7B3B" w:rsidRPr="00A83FD2">
        <w:rPr>
          <w:rFonts w:ascii="Calibri" w:hAnsi="Calibri"/>
          <w:sz w:val="22"/>
          <w:szCs w:val="22"/>
          <w:lang w:val="es-ES"/>
        </w:rPr>
        <w:t xml:space="preserve">Grundfos </w:t>
      </w:r>
      <w:r w:rsidR="00637EFF" w:rsidRPr="00A83FD2">
        <w:rPr>
          <w:rFonts w:ascii="Calibri" w:hAnsi="Calibri"/>
          <w:sz w:val="22"/>
          <w:szCs w:val="22"/>
          <w:lang w:val="es-ES"/>
        </w:rPr>
        <w:t>ext</w:t>
      </w:r>
      <w:r w:rsidR="00A83FD2" w:rsidRPr="00A83FD2">
        <w:rPr>
          <w:rFonts w:ascii="Calibri" w:hAnsi="Calibri"/>
          <w:sz w:val="22"/>
          <w:szCs w:val="22"/>
          <w:lang w:val="es-ES"/>
        </w:rPr>
        <w:t>iende</w:t>
      </w:r>
      <w:r w:rsidR="00637EFF" w:rsidRPr="00A83FD2">
        <w:rPr>
          <w:rFonts w:ascii="Calibri" w:hAnsi="Calibri"/>
          <w:sz w:val="22"/>
          <w:szCs w:val="22"/>
          <w:lang w:val="es-ES"/>
        </w:rPr>
        <w:t xml:space="preserve"> </w:t>
      </w:r>
      <w:r w:rsidR="00A83FD2" w:rsidRPr="00A83FD2">
        <w:rPr>
          <w:rFonts w:ascii="Calibri" w:hAnsi="Calibri"/>
          <w:sz w:val="22"/>
          <w:szCs w:val="22"/>
          <w:lang w:val="es-ES"/>
        </w:rPr>
        <w:t>la garantía para todos los modelos</w:t>
      </w:r>
      <w:r w:rsidR="00637EFF" w:rsidRPr="00A83FD2">
        <w:rPr>
          <w:rFonts w:ascii="Calibri" w:hAnsi="Calibri"/>
          <w:sz w:val="22"/>
          <w:szCs w:val="22"/>
          <w:lang w:val="es-ES"/>
        </w:rPr>
        <w:t xml:space="preserve"> ALPHA2 </w:t>
      </w:r>
      <w:r w:rsidR="00A83FD2">
        <w:rPr>
          <w:rFonts w:ascii="Calibri" w:hAnsi="Calibri"/>
          <w:sz w:val="22"/>
          <w:szCs w:val="22"/>
          <w:lang w:val="es-ES"/>
        </w:rPr>
        <w:t>fabricados durante</w:t>
      </w:r>
      <w:r w:rsidR="00637EFF" w:rsidRPr="00A83FD2">
        <w:rPr>
          <w:rFonts w:ascii="Calibri" w:hAnsi="Calibri"/>
          <w:sz w:val="22"/>
          <w:szCs w:val="22"/>
          <w:lang w:val="es-ES"/>
        </w:rPr>
        <w:t xml:space="preserve"> 2015</w:t>
      </w:r>
    </w:p>
    <w:p w:rsidR="00637EFF" w:rsidRPr="00A83FD2" w:rsidRDefault="00637EFF" w:rsidP="006E5157">
      <w:pPr>
        <w:pStyle w:val="BodyText2"/>
        <w:rPr>
          <w:rFonts w:ascii="Calibri" w:hAnsi="Calibri"/>
          <w:sz w:val="16"/>
          <w:szCs w:val="16"/>
          <w:lang w:val="es-ES"/>
        </w:rPr>
      </w:pPr>
    </w:p>
    <w:p w:rsidR="003E7A65" w:rsidRPr="00A83FD2" w:rsidRDefault="000D2B76" w:rsidP="006E5157">
      <w:pPr>
        <w:pStyle w:val="BodyText2"/>
        <w:rPr>
          <w:rFonts w:ascii="Calibri" w:hAnsi="Calibri"/>
          <w:sz w:val="36"/>
          <w:szCs w:val="36"/>
          <w:lang w:val="es-ES"/>
        </w:rPr>
      </w:pPr>
      <w:r w:rsidRPr="004E450D">
        <w:rPr>
          <w:rFonts w:ascii="Calibri" w:hAnsi="Calibri"/>
          <w:b w:val="0"/>
          <w:noProof/>
          <w:sz w:val="36"/>
          <w:szCs w:val="36"/>
          <w:lang w:val="es-E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-3341370</wp:posOffset>
                </wp:positionH>
                <wp:positionV relativeFrom="paragraph">
                  <wp:posOffset>749300</wp:posOffset>
                </wp:positionV>
                <wp:extent cx="2895600" cy="6594475"/>
                <wp:effectExtent l="1905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9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7A" w:rsidRPr="007D5A67" w:rsidRDefault="00907F7A" w:rsidP="00EB5A3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06CDE" w:rsidRPr="000C3656" w:rsidRDefault="00306CDE" w:rsidP="00807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:rsidR="000C3656" w:rsidRDefault="000D2B76" w:rsidP="007D5A6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637EFF">
                              <w:rPr>
                                <w:b/>
                                <w:noProof/>
                                <w:sz w:val="20"/>
                                <w:szCs w:val="20"/>
                                <w:lang w:val="es-ES" w:eastAsia="ja-JP"/>
                              </w:rPr>
                              <w:drawing>
                                <wp:inline distT="0" distB="0" distL="0" distR="0">
                                  <wp:extent cx="2705100" cy="2146300"/>
                                  <wp:effectExtent l="0" t="0" r="0" b="6350"/>
                                  <wp:docPr id="2" name="Picture 2" descr="ALPHA2d_5years_PR_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PHA2d_5years_PR_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214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1BE" w:rsidRDefault="006871BE" w:rsidP="007D5A6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:rsidR="001F47C3" w:rsidRPr="004E450D" w:rsidRDefault="00A83FD2" w:rsidP="001F47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GrundfosTheSansV2"/>
                                <w:b/>
                                <w:sz w:val="20"/>
                                <w:szCs w:val="20"/>
                                <w:u w:val="single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GrundfosTheSansV2"/>
                                <w:b/>
                                <w:sz w:val="20"/>
                                <w:szCs w:val="20"/>
                                <w:u w:val="single"/>
                                <w:lang w:val="es-ES" w:eastAsia="es-ES"/>
                              </w:rPr>
                              <w:t>Información destacada</w:t>
                            </w:r>
                            <w:r w:rsidR="00F2440D" w:rsidRPr="004E450D">
                              <w:rPr>
                                <w:rFonts w:ascii="Calibri" w:hAnsi="Calibri" w:cs="GrundfosTheSansV2"/>
                                <w:b/>
                                <w:sz w:val="20"/>
                                <w:szCs w:val="20"/>
                                <w:u w:val="single"/>
                                <w:lang w:val="es-ES" w:eastAsia="es-ES"/>
                              </w:rPr>
                              <w:t>:</w:t>
                            </w:r>
                          </w:p>
                          <w:p w:rsidR="001F47C3" w:rsidRPr="004E450D" w:rsidRDefault="001F47C3" w:rsidP="001F47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GrundfosTheSansV2"/>
                                <w:b/>
                                <w:sz w:val="20"/>
                                <w:szCs w:val="20"/>
                                <w:u w:val="single"/>
                                <w:lang w:val="es-ES" w:eastAsia="es-ES"/>
                              </w:rPr>
                            </w:pPr>
                          </w:p>
                          <w:p w:rsidR="002D1579" w:rsidRPr="00A83FD2" w:rsidRDefault="008F73FD" w:rsidP="00C91E5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A83FD2"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  <w:t xml:space="preserve">5 </w:t>
                            </w:r>
                            <w:r w:rsidR="00A83FD2" w:rsidRPr="00A83FD2"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  <w:t xml:space="preserve">años de garantía para todos los modelos de la gama ALPHA2 fabricados desde el 1 de enero de </w:t>
                            </w:r>
                            <w:r w:rsidR="00370092" w:rsidRPr="00A83FD2"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  <w:t>2015</w:t>
                            </w:r>
                          </w:p>
                          <w:p w:rsidR="009B3884" w:rsidRPr="00A83FD2" w:rsidRDefault="009B3884" w:rsidP="00C91E5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60 </w:t>
                            </w:r>
                            <w:r w:rsidR="00A83FD2"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años de experiencia y</w:t>
                            </w: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3 mil</w:t>
                            </w:r>
                            <w:r w:rsidR="00A83FD2"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on</w:t>
                            </w:r>
                            <w:r w:rsidR="00A83FD2"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es de</w:t>
                            </w: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ALPHA2 </w:t>
                            </w:r>
                            <w:r w:rsid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vendidas en el mundo</w:t>
                            </w:r>
                          </w:p>
                          <w:p w:rsidR="00C91E5A" w:rsidRPr="004E450D" w:rsidRDefault="00A83FD2" w:rsidP="00C91E5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lang w:val="es-ES"/>
                              </w:rPr>
                              <w:t>Líder del mercado por su Índice de Eficiencia Energética</w:t>
                            </w:r>
                          </w:p>
                          <w:p w:rsidR="00A83FD2" w:rsidRPr="00A83FD2" w:rsidRDefault="009C5D2B" w:rsidP="003D67D8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rundfos TheSans V2" w:hAnsi="Grundfos TheSans V2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ALPHA2</w:t>
                            </w:r>
                            <w:r w:rsidR="00A83FD2"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cumple ampliamente los requisitos marcados por la UE</w:t>
                            </w:r>
                            <w:r w:rsid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, en su Directiva de </w:t>
                            </w:r>
                            <w:proofErr w:type="spellStart"/>
                            <w:r w:rsid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Ecodiseño</w:t>
                            </w:r>
                            <w:proofErr w:type="spellEnd"/>
                            <w:r w:rsid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A83FD2"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con un IEE de 0,15</w:t>
                            </w:r>
                          </w:p>
                          <w:p w:rsidR="00911BFA" w:rsidRDefault="00A83FD2" w:rsidP="00911BF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rundfos TheSans V2" w:hAnsi="Grundfos TheSans V2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A83FD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Ahorros de hasta un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85% si lo comparamos con las bombas estándar no reguladas</w:t>
                            </w:r>
                          </w:p>
                          <w:p w:rsidR="006871BE" w:rsidRPr="00911BFA" w:rsidRDefault="00911BFA" w:rsidP="00911BF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rundfos TheSans V2" w:hAnsi="Grundfos TheSans V2" w:cs="GrundfosTheSansV2OT-6SB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11BFA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El eje y cojinetes cerámicos impiden la presencia de partículas metálicas en la bomba evitando los temidos bloqueos y alargando la vida útil de la </w:t>
                            </w:r>
                            <w:proofErr w:type="spellStart"/>
                            <w:r w:rsidRPr="00911BFA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circuladora</w:t>
                            </w:r>
                            <w:proofErr w:type="spellEnd"/>
                            <w:r w:rsidRPr="00911BFA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263.1pt;margin-top:59pt;width:228pt;height:5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5a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RLY846Az8LobwM/s4Rza7Kjq4VZW3zQSctlSsWHXSsmxZbSG9EJ70z+7&#10;OuFoC7IeP8oa4tCtkQ5o36je1g6qgQAd2vRwao3NpYLDKEnjWQCmCmyzOCVkHrsYNDteH5Q275ns&#10;kV3kWEHvHTzd3Wpj06HZ0cVGE7LkXef634lnB+A4nUBwuGptNg3Xzsc0SFfJKiEeiWYrjwRF4V2X&#10;S+LNynAeF++K5bIIf9q4IclaXtdM2DBHaYXkz1p3EPkkipO4tOx4beFsSlpt1stOoR0FaZfuOxTk&#10;zM1/noYrAnB5QSmMSHATpV45S+YeKUnspfMg8YIwvUlnAUlJUT6ndMsF+3dKaMxxGkfxpKbfcgvc&#10;95obzXpuYHh0vM9xcnKimdXgStSutYbyblqflcKm/1QKaPex0U6xVqSTXM1+vXdvw8nZqnkt6weQ&#10;sJIgMBAjDD5YtFL9wGiEIZJj/X1LFcOo+yDgGaQhIXbquA2J5xFs1LllfW6hogKoHBuMpuXSTJNq&#10;Oyi+aSHS9PCEvIan03An6qesDg8OBoXjdhhqdhKd753X0+hd/AIAAP//AwBQSwMEFAAGAAgAAAAh&#10;AJ6HNHffAAAADQEAAA8AAABkcnMvZG93bnJldi54bWxMj8FOwzAQRO9I/IO1SNxSuxEJJcSpEIgr&#10;iAKVenPjbRIRr6PYbcLfsz3R4848zc6U69n14oRj6DxpWC4UCKTa244aDV+fr8kKRIiGrOk9oYZf&#10;DLCurq9KU1g/0QeeNrERHEKhMBraGIdCylC36ExY+AGJvYMfnYl8jo20o5k43PUyVSqXznTEH1oz&#10;4HOL9c/m6DR8vx122zv13ry4bJj8rCS5B6n17c389Agi4hz/YTjX5+pQcae9P5INoteQZGmeMsvO&#10;csWrGEnuFSv7s5LlGciqlJcrqj8AAAD//wMAUEsBAi0AFAAGAAgAAAAhALaDOJL+AAAA4QEAABMA&#10;AAAAAAAAAAAAAAAAAAAAAFtDb250ZW50X1R5cGVzXS54bWxQSwECLQAUAAYACAAAACEAOP0h/9YA&#10;AACUAQAACwAAAAAAAAAAAAAAAAAvAQAAX3JlbHMvLnJlbHNQSwECLQAUAAYACAAAACEAKN6uWrgC&#10;AADCBQAADgAAAAAAAAAAAAAAAAAuAgAAZHJzL2Uyb0RvYy54bWxQSwECLQAUAAYACAAAACEAnoc0&#10;d98AAAANAQAADwAAAAAAAAAAAAAAAAASBQAAZHJzL2Rvd25yZXYueG1sUEsFBgAAAAAEAAQA8wAA&#10;AB4GAAAAAA==&#10;" filled="f" stroked="f">
                <v:textbox>
                  <w:txbxContent>
                    <w:p w:rsidR="00907F7A" w:rsidRPr="007D5A67" w:rsidRDefault="00907F7A" w:rsidP="00EB5A31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06CDE" w:rsidRPr="000C3656" w:rsidRDefault="00306CDE" w:rsidP="00807E1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:rsidR="000C3656" w:rsidRDefault="000D2B76" w:rsidP="007D5A67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637EFF">
                        <w:rPr>
                          <w:b/>
                          <w:noProof/>
                          <w:sz w:val="20"/>
                          <w:szCs w:val="20"/>
                          <w:lang w:val="es-ES" w:eastAsia="ja-JP"/>
                        </w:rPr>
                        <w:drawing>
                          <wp:inline distT="0" distB="0" distL="0" distR="0">
                            <wp:extent cx="2705100" cy="2146300"/>
                            <wp:effectExtent l="0" t="0" r="0" b="6350"/>
                            <wp:docPr id="2" name="Picture 2" descr="ALPHA2d_5years_PR_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PHA2d_5years_PR_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214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1BE" w:rsidRDefault="006871BE" w:rsidP="007D5A67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:rsidR="001F47C3" w:rsidRPr="004E450D" w:rsidRDefault="00A83FD2" w:rsidP="001F47C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GrundfosTheSansV2"/>
                          <w:b/>
                          <w:sz w:val="20"/>
                          <w:szCs w:val="20"/>
                          <w:u w:val="single"/>
                          <w:lang w:val="es-ES" w:eastAsia="es-ES"/>
                        </w:rPr>
                      </w:pPr>
                      <w:r>
                        <w:rPr>
                          <w:rFonts w:ascii="Calibri" w:hAnsi="Calibri" w:cs="GrundfosTheSansV2"/>
                          <w:b/>
                          <w:sz w:val="20"/>
                          <w:szCs w:val="20"/>
                          <w:u w:val="single"/>
                          <w:lang w:val="es-ES" w:eastAsia="es-ES"/>
                        </w:rPr>
                        <w:t>Información destacada</w:t>
                      </w:r>
                      <w:r w:rsidR="00F2440D" w:rsidRPr="004E450D">
                        <w:rPr>
                          <w:rFonts w:ascii="Calibri" w:hAnsi="Calibri" w:cs="GrundfosTheSansV2"/>
                          <w:b/>
                          <w:sz w:val="20"/>
                          <w:szCs w:val="20"/>
                          <w:u w:val="single"/>
                          <w:lang w:val="es-ES" w:eastAsia="es-ES"/>
                        </w:rPr>
                        <w:t>:</w:t>
                      </w:r>
                    </w:p>
                    <w:p w:rsidR="001F47C3" w:rsidRPr="004E450D" w:rsidRDefault="001F47C3" w:rsidP="001F47C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GrundfosTheSansV2"/>
                          <w:b/>
                          <w:sz w:val="20"/>
                          <w:szCs w:val="20"/>
                          <w:u w:val="single"/>
                          <w:lang w:val="es-ES" w:eastAsia="es-ES"/>
                        </w:rPr>
                      </w:pPr>
                    </w:p>
                    <w:p w:rsidR="002D1579" w:rsidRPr="00A83FD2" w:rsidRDefault="008F73FD" w:rsidP="00C91E5A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 w:rsidRPr="00A83FD2"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  <w:t xml:space="preserve">5 </w:t>
                      </w:r>
                      <w:r w:rsidR="00A83FD2" w:rsidRPr="00A83FD2"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  <w:t xml:space="preserve">años de garantía para todos los modelos de la gama ALPHA2 fabricados desde el 1 de enero de </w:t>
                      </w:r>
                      <w:r w:rsidR="00370092" w:rsidRPr="00A83FD2"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  <w:t>2015</w:t>
                      </w:r>
                    </w:p>
                    <w:p w:rsidR="009B3884" w:rsidRPr="00A83FD2" w:rsidRDefault="009B3884" w:rsidP="00C91E5A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60 </w:t>
                      </w:r>
                      <w:r w:rsidR="00A83FD2"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años de experiencia y</w:t>
                      </w: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3 mil</w:t>
                      </w:r>
                      <w:r w:rsidR="00A83FD2"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on</w:t>
                      </w:r>
                      <w:r w:rsidR="00A83FD2"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es de</w:t>
                      </w: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ALPHA2 </w:t>
                      </w:r>
                      <w:r w:rsid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vendidas en el mundo</w:t>
                      </w:r>
                    </w:p>
                    <w:p w:rsidR="00C91E5A" w:rsidRPr="004E450D" w:rsidRDefault="00A83FD2" w:rsidP="00C91E5A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lang w:val="es-ES"/>
                        </w:rPr>
                        <w:t>Líder del mercado por su Índice de Eficiencia Energética</w:t>
                      </w:r>
                    </w:p>
                    <w:p w:rsidR="00A83FD2" w:rsidRPr="00A83FD2" w:rsidRDefault="009C5D2B" w:rsidP="003D67D8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Grundfos TheSans V2" w:hAnsi="Grundfos TheSans V2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ALPHA2</w:t>
                      </w:r>
                      <w:r w:rsidR="00A83FD2"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cumple ampliamente los requisitos marcados por la UE</w:t>
                      </w:r>
                      <w:r w:rsid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, en su Directiva de </w:t>
                      </w:r>
                      <w:proofErr w:type="spellStart"/>
                      <w:r w:rsid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Ecodiseño</w:t>
                      </w:r>
                      <w:proofErr w:type="spellEnd"/>
                      <w:r w:rsid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A83FD2"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con un IEE de 0,15</w:t>
                      </w:r>
                    </w:p>
                    <w:p w:rsidR="00911BFA" w:rsidRDefault="00A83FD2" w:rsidP="00911BFA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Grundfos TheSans V2" w:hAnsi="Grundfos TheSans V2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 w:rsidRPr="00A83FD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Ahorros de hasta un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85% si lo comparamos con las bombas estándar no reguladas</w:t>
                      </w:r>
                    </w:p>
                    <w:p w:rsidR="006871BE" w:rsidRPr="00911BFA" w:rsidRDefault="00911BFA" w:rsidP="00911BFA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Grundfos TheSans V2" w:hAnsi="Grundfos TheSans V2" w:cs="GrundfosTheSansV2OT-6SB"/>
                          <w:sz w:val="20"/>
                          <w:szCs w:val="20"/>
                          <w:lang w:val="es-ES" w:eastAsia="es-ES"/>
                        </w:rPr>
                      </w:pPr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El eje y cojinetes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cerámicos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impiden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la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presencia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partículas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metálicas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en la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bomba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evitando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los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temidos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bloqueos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alargando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la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vida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útil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de la </w:t>
                      </w:r>
                      <w:proofErr w:type="spellStart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circuladora</w:t>
                      </w:r>
                      <w:proofErr w:type="spellEnd"/>
                      <w:r w:rsidRPr="00911BFA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7B08" w:rsidRPr="00A83FD2">
        <w:rPr>
          <w:rFonts w:ascii="Calibri" w:hAnsi="Calibri"/>
          <w:sz w:val="36"/>
          <w:szCs w:val="36"/>
          <w:lang w:val="es-ES"/>
        </w:rPr>
        <w:t>Grundfos</w:t>
      </w:r>
      <w:r w:rsidR="00637EFF" w:rsidRPr="00A83FD2">
        <w:rPr>
          <w:rFonts w:ascii="Calibri" w:hAnsi="Calibri"/>
          <w:sz w:val="36"/>
          <w:szCs w:val="36"/>
          <w:lang w:val="es-ES"/>
        </w:rPr>
        <w:t xml:space="preserve"> ALPHA2</w:t>
      </w:r>
      <w:r w:rsidR="00804554" w:rsidRPr="00A83FD2">
        <w:rPr>
          <w:rFonts w:ascii="Calibri" w:hAnsi="Calibri"/>
          <w:sz w:val="36"/>
          <w:szCs w:val="36"/>
          <w:lang w:val="es-ES"/>
        </w:rPr>
        <w:t xml:space="preserve"> – </w:t>
      </w:r>
      <w:r w:rsidR="00A83FD2" w:rsidRPr="00A83FD2">
        <w:rPr>
          <w:rFonts w:ascii="Calibri" w:hAnsi="Calibri"/>
          <w:sz w:val="36"/>
          <w:szCs w:val="36"/>
          <w:lang w:val="es-ES"/>
        </w:rPr>
        <w:t>ahora con 5 años de garant</w:t>
      </w:r>
      <w:r w:rsidR="00A83FD2">
        <w:rPr>
          <w:rFonts w:ascii="Calibri" w:hAnsi="Calibri"/>
          <w:sz w:val="36"/>
          <w:szCs w:val="36"/>
          <w:lang w:val="es-ES"/>
        </w:rPr>
        <w:t>ía</w:t>
      </w:r>
    </w:p>
    <w:p w:rsidR="00394F07" w:rsidRPr="00A83FD2" w:rsidRDefault="00394F07">
      <w:pPr>
        <w:rPr>
          <w:rFonts w:ascii="Calibri" w:hAnsi="Calibri"/>
          <w:sz w:val="20"/>
          <w:lang w:val="es-ES"/>
        </w:rPr>
      </w:pPr>
    </w:p>
    <w:p w:rsidR="00A83FD2" w:rsidRDefault="00586BD4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Calibri" w:hAnsi="Calibri"/>
          <w:sz w:val="20"/>
          <w:szCs w:val="20"/>
          <w:u w:val="single"/>
        </w:rPr>
        <w:t>Miércoles 16</w:t>
      </w:r>
      <w:bookmarkStart w:id="0" w:name="_GoBack"/>
      <w:bookmarkEnd w:id="0"/>
      <w:r w:rsidR="00A83FD2" w:rsidRPr="00A83FD2">
        <w:rPr>
          <w:rFonts w:ascii="Calibri" w:hAnsi="Calibri"/>
          <w:sz w:val="20"/>
          <w:szCs w:val="20"/>
          <w:u w:val="single"/>
        </w:rPr>
        <w:t xml:space="preserve"> de septiembre de 2015</w:t>
      </w:r>
      <w:r w:rsidR="00013F07" w:rsidRPr="00A83FD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42227" w:rsidRPr="00A83FD2">
        <w:rPr>
          <w:rFonts w:ascii="Calibri" w:hAnsi="Calibri"/>
          <w:b/>
          <w:sz w:val="20"/>
          <w:szCs w:val="20"/>
          <w:u w:val="single"/>
        </w:rPr>
        <w:t>-</w:t>
      </w:r>
      <w:r w:rsidR="00D26524" w:rsidRPr="00A83FD2">
        <w:rPr>
          <w:rFonts w:ascii="Calibri" w:hAnsi="Calibri"/>
          <w:b/>
          <w:sz w:val="20"/>
          <w:szCs w:val="20"/>
        </w:rPr>
        <w:t xml:space="preserve"> </w:t>
      </w:r>
      <w:hyperlink r:id="rId11" w:tooltip="Bomba circuladora ALPHA2" w:history="1">
        <w:r w:rsidR="00A83FD2">
          <w:rPr>
            <w:rStyle w:val="Hyperlink"/>
            <w:rFonts w:ascii="Arial" w:hAnsi="Arial" w:cs="Arial"/>
            <w:color w:val="3572A8"/>
            <w:sz w:val="18"/>
            <w:szCs w:val="18"/>
          </w:rPr>
          <w:t>Grundfos ALPHA2</w:t>
        </w:r>
      </w:hyperlink>
      <w:r w:rsidR="00A83FD2"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r w:rsidR="00A83FD2">
        <w:rPr>
          <w:rFonts w:ascii="Arial" w:hAnsi="Arial" w:cs="Arial"/>
          <w:color w:val="737373"/>
          <w:sz w:val="18"/>
          <w:szCs w:val="18"/>
        </w:rPr>
        <w:t xml:space="preserve">marca la diferencia otra vez. No solo por ser la bomba </w:t>
      </w:r>
      <w:proofErr w:type="spellStart"/>
      <w:r w:rsidR="00A83FD2">
        <w:rPr>
          <w:rFonts w:ascii="Arial" w:hAnsi="Arial" w:cs="Arial"/>
          <w:color w:val="737373"/>
          <w:sz w:val="18"/>
          <w:szCs w:val="18"/>
        </w:rPr>
        <w:t>circuladora</w:t>
      </w:r>
      <w:proofErr w:type="spellEnd"/>
      <w:r w:rsidR="00A83FD2">
        <w:rPr>
          <w:rFonts w:ascii="Arial" w:hAnsi="Arial" w:cs="Arial"/>
          <w:color w:val="737373"/>
          <w:sz w:val="18"/>
          <w:szCs w:val="18"/>
        </w:rPr>
        <w:t xml:space="preserve"> más eficiente de su clase en el mercado. Ahora presenta una nueva ventaja: los 5 años de garantía que Grundfos te ofrece para todos los modelos ALPHA2 fabricados a partir del 1 de enero de 2015. Con esta extensión de garantía, Grundfos quiere mostrar la seguridad y convencimiento de la compañía en la extraordinaria fiabilidad de esta </w:t>
      </w:r>
      <w:proofErr w:type="spellStart"/>
      <w:r w:rsidR="00A83FD2">
        <w:rPr>
          <w:rFonts w:ascii="Arial" w:hAnsi="Arial" w:cs="Arial"/>
          <w:color w:val="737373"/>
          <w:sz w:val="18"/>
          <w:szCs w:val="18"/>
        </w:rPr>
        <w:t>ciculadora</w:t>
      </w:r>
      <w:proofErr w:type="spellEnd"/>
      <w:r w:rsidR="00A83FD2">
        <w:rPr>
          <w:rFonts w:ascii="Arial" w:hAnsi="Arial" w:cs="Arial"/>
          <w:color w:val="737373"/>
          <w:sz w:val="18"/>
          <w:szCs w:val="18"/>
        </w:rPr>
        <w:t xml:space="preserve"> de calefacción.</w:t>
      </w:r>
    </w:p>
    <w:p w:rsidR="00A83FD2" w:rsidRDefault="00586BD4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hyperlink r:id="rId12" w:tooltip="Bomba circuladora ALPHA2" w:history="1">
        <w:r w:rsidR="00A83FD2">
          <w:rPr>
            <w:rStyle w:val="Hyperlink"/>
            <w:rFonts w:ascii="Arial" w:hAnsi="Arial" w:cs="Arial"/>
            <w:color w:val="3572A8"/>
            <w:sz w:val="18"/>
            <w:szCs w:val="18"/>
          </w:rPr>
          <w:t>Grundfos ALPHA2</w:t>
        </w:r>
      </w:hyperlink>
      <w:r w:rsidR="00A83FD2"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r w:rsidR="00A83FD2">
        <w:rPr>
          <w:rFonts w:ascii="Arial" w:hAnsi="Arial" w:cs="Arial"/>
          <w:color w:val="737373"/>
          <w:sz w:val="18"/>
          <w:szCs w:val="18"/>
        </w:rPr>
        <w:t xml:space="preserve">es una bomba innovadora basada en la fiabilidad de una marca tan reconocida como Grundfos. Con más de 60 años de experiencia y más de 3 millones de </w:t>
      </w:r>
      <w:proofErr w:type="spellStart"/>
      <w:r w:rsidR="00A83FD2">
        <w:rPr>
          <w:rFonts w:ascii="Arial" w:hAnsi="Arial" w:cs="Arial"/>
          <w:color w:val="737373"/>
          <w:sz w:val="18"/>
          <w:szCs w:val="18"/>
        </w:rPr>
        <w:t>circuladoras</w:t>
      </w:r>
      <w:proofErr w:type="spellEnd"/>
      <w:r w:rsidR="00A83FD2">
        <w:rPr>
          <w:rFonts w:ascii="Arial" w:hAnsi="Arial" w:cs="Arial"/>
          <w:color w:val="737373"/>
          <w:sz w:val="18"/>
          <w:szCs w:val="18"/>
        </w:rPr>
        <w:t xml:space="preserve"> de calefacción ALPHA2 vendidas en todo el mundo, estas bombas de calidad superior superan ampliamente los requisitos establecidos por las normativas europeas en eficiencia energética.</w:t>
      </w:r>
    </w:p>
    <w:p w:rsidR="00A83FD2" w:rsidRDefault="00A83FD2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Esta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circuladora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dispone de una tecnología ampliamente contrastada y ha sido mejorada para ofrecer la máxima fiabilidad y eficiencia energética del mercado.</w:t>
      </w:r>
    </w:p>
    <w:p w:rsidR="0088743F" w:rsidRPr="00A83FD2" w:rsidRDefault="00A83FD2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Su tratamiento por cataforesis en el cuerpo de la bomba proporciona una gran resistencia a la corrosión y la hace incluso una bomba apta para aplicaciones de agua fría. El eje y cojinetes cerámicos impiden la presencia de partículas metálicas en la bomba evitando los temidos bloqueos y alargando la vida útil de la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circuladora</w:t>
      </w:r>
      <w:proofErr w:type="spellEnd"/>
      <w:r>
        <w:rPr>
          <w:rFonts w:ascii="Arial" w:hAnsi="Arial" w:cs="Arial"/>
          <w:color w:val="737373"/>
          <w:sz w:val="18"/>
          <w:szCs w:val="18"/>
        </w:rPr>
        <w:t>.</w:t>
      </w:r>
    </w:p>
    <w:p w:rsidR="0088743F" w:rsidRPr="00A83FD2" w:rsidRDefault="00A83FD2" w:rsidP="009C5D2B">
      <w:pPr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A83FD2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La bomba </w:t>
      </w:r>
      <w:proofErr w:type="spellStart"/>
      <w:r w:rsidRPr="00A83FD2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circuladora</w:t>
      </w:r>
      <w:proofErr w:type="spellEnd"/>
      <w:r w:rsidRPr="00A83FD2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 más eficiente de su rango</w:t>
      </w:r>
    </w:p>
    <w:p w:rsidR="00A83FD2" w:rsidRDefault="00A83FD2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Estudios independientes muestran que la bomba Grundfos ALPHA2 es la más eficiente del mercado de las pequeñas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circuladoras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con un Índice de Eficiencia Energética (IEE) de tan solo 0,15. Esto significa que</w:t>
      </w:r>
      <w:r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hyperlink r:id="rId13" w:tooltip="Bomba circuladora ALPHA2" w:history="1">
        <w:r>
          <w:rPr>
            <w:rStyle w:val="Hyperlink"/>
            <w:rFonts w:ascii="Arial" w:hAnsi="Arial" w:cs="Arial"/>
            <w:color w:val="3572A8"/>
            <w:sz w:val="18"/>
            <w:szCs w:val="18"/>
          </w:rPr>
          <w:t>Grundfos ALPHA2</w:t>
        </w:r>
      </w:hyperlink>
      <w:r>
        <w:rPr>
          <w:rFonts w:ascii="Arial" w:hAnsi="Arial" w:cs="Arial"/>
          <w:color w:val="737373"/>
          <w:sz w:val="18"/>
          <w:szCs w:val="18"/>
        </w:rPr>
        <w:t>  ofrece un ahorro energético de más del 85% si lo comparamos con las bombas de circulación tradicionales sin variadores de velocidad.</w:t>
      </w:r>
    </w:p>
    <w:p w:rsidR="00A83FD2" w:rsidRDefault="00A83FD2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Estos niveles de eficiencia record se han conseguido gracias al diseño de su nuevo motor, de una hidráulica mejorada. La Directiva europea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EuP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(sobre Productos que Utilizan Energía) establece que todas las bombas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circuladoras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</w:t>
      </w:r>
      <w:r>
        <w:rPr>
          <w:rFonts w:ascii="Arial" w:hAnsi="Arial" w:cs="Arial"/>
          <w:color w:val="737373"/>
          <w:sz w:val="18"/>
          <w:szCs w:val="18"/>
        </w:rPr>
        <w:lastRenderedPageBreak/>
        <w:t>comercializadas en la UE después del 1 de enero de 2015 deben tener un IEE igual o inferior a 0,23.</w:t>
      </w:r>
      <w:r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hyperlink r:id="rId14" w:tooltip="Bomba circuladora ALPHA2" w:history="1">
        <w:r>
          <w:rPr>
            <w:rStyle w:val="Hyperlink"/>
            <w:rFonts w:ascii="Arial" w:hAnsi="Arial" w:cs="Arial"/>
            <w:color w:val="3572A8"/>
            <w:sz w:val="18"/>
            <w:szCs w:val="18"/>
          </w:rPr>
          <w:t>Grundfos ALPHA2</w:t>
        </w:r>
      </w:hyperlink>
      <w:r>
        <w:rPr>
          <w:rFonts w:ascii="Arial" w:hAnsi="Arial" w:cs="Arial"/>
          <w:color w:val="737373"/>
          <w:sz w:val="18"/>
          <w:szCs w:val="18"/>
        </w:rPr>
        <w:t> cumple los requisitos ampliamente ya que su IEE es de tan solo 0,15.</w:t>
      </w:r>
    </w:p>
    <w:p w:rsidR="00A83FD2" w:rsidRDefault="00A83FD2" w:rsidP="00A83FD2">
      <w:pPr>
        <w:pStyle w:val="NormalWeb"/>
        <w:spacing w:line="240" w:lineRule="atLeas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En la práctica, esto significa que la bomba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circuladora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ALPHA2 es un 35% más eficiente que las bombas que simplemente cumplen los requisitos establecidos por la UE.</w:t>
      </w:r>
    </w:p>
    <w:p w:rsidR="00A83FD2" w:rsidRPr="001F47C3" w:rsidRDefault="00A83FD2" w:rsidP="00A83FD2">
      <w:pPr>
        <w:ind w:left="-720" w:firstLine="720"/>
        <w:jc w:val="both"/>
        <w:rPr>
          <w:rFonts w:ascii="Grundfos TheSans V2" w:hAnsi="Grundfos TheSans V2"/>
          <w:b/>
          <w:sz w:val="20"/>
          <w:szCs w:val="20"/>
          <w:u w:val="single"/>
          <w:lang w:val="es-ES"/>
        </w:rPr>
      </w:pPr>
      <w:r w:rsidRPr="001F47C3">
        <w:rPr>
          <w:rFonts w:ascii="Grundfos TheSans V2" w:hAnsi="Grundfos TheSans V2"/>
          <w:b/>
          <w:sz w:val="20"/>
          <w:szCs w:val="20"/>
          <w:u w:val="single"/>
          <w:lang w:val="es-ES"/>
        </w:rPr>
        <w:t>Sobre Bombas Grundfos España – Información corporativa</w:t>
      </w:r>
    </w:p>
    <w:p w:rsidR="00A83FD2" w:rsidRPr="001F47C3" w:rsidRDefault="00A83FD2" w:rsidP="00A83FD2">
      <w:pPr>
        <w:ind w:left="-720"/>
        <w:jc w:val="both"/>
        <w:rPr>
          <w:rFonts w:ascii="Grundfos TheSans V2" w:hAnsi="Grundfos TheSans V2"/>
          <w:b/>
          <w:sz w:val="20"/>
          <w:szCs w:val="20"/>
          <w:u w:val="single"/>
          <w:lang w:val="es-ES"/>
        </w:rPr>
      </w:pPr>
    </w:p>
    <w:p w:rsidR="00A83FD2" w:rsidRPr="001F47C3" w:rsidRDefault="00A83FD2" w:rsidP="00A83FD2">
      <w:pPr>
        <w:rPr>
          <w:rFonts w:ascii="Grundfos TheSans V2" w:hAnsi="Grundfos TheSans V2"/>
          <w:sz w:val="20"/>
          <w:szCs w:val="20"/>
          <w:lang w:val="es-ES"/>
        </w:rPr>
      </w:pPr>
      <w:r w:rsidRPr="001F47C3">
        <w:rPr>
          <w:rFonts w:ascii="Grundfos TheSans V2" w:hAnsi="Grundfos TheSans V2"/>
          <w:sz w:val="20"/>
          <w:szCs w:val="20"/>
          <w:lang w:val="es-ES"/>
        </w:rPr>
        <w:t xml:space="preserve">Con una producción anual de más de 16 millones de unidades, una facturación de 3.000 millones de euros y presente en 45 países, Grundfos es uno de los líderes mundiales en el desarrollo, producción y comercialización de bombas y sistemas de bombeo. Las bombas </w:t>
      </w:r>
      <w:proofErr w:type="spellStart"/>
      <w:r w:rsidRPr="001F47C3">
        <w:rPr>
          <w:rFonts w:ascii="Grundfos TheSans V2" w:hAnsi="Grundfos TheSans V2"/>
          <w:sz w:val="20"/>
          <w:szCs w:val="20"/>
          <w:lang w:val="es-ES"/>
        </w:rPr>
        <w:t>circuladoras</w:t>
      </w:r>
      <w:proofErr w:type="spellEnd"/>
      <w:r w:rsidRPr="001F47C3">
        <w:rPr>
          <w:rFonts w:ascii="Grundfos TheSans V2" w:hAnsi="Grundfos TheSans V2"/>
          <w:sz w:val="20"/>
          <w:szCs w:val="20"/>
          <w:lang w:val="es-ES"/>
        </w:rPr>
        <w:t xml:space="preserve"> (UP), sumergibles (SP) y centrífugas (CR) componen la principal oferta de la compañía pero, además de su amplia gama de producto, Grundfos dispone de motores eléctricos y la tecnología electrónica más avanzada para ofrecer bombas "inteligentes" y componentes altamente eficientes. Su objetivo: mejorar el rendimiento y permitir un alto ahorro, tanto energético como de costes. En España, Bombas Grundfos cuenta con una compañía de </w:t>
      </w:r>
      <w:proofErr w:type="gramStart"/>
      <w:r w:rsidRPr="001F47C3">
        <w:rPr>
          <w:rFonts w:ascii="Grundfos TheSans V2" w:hAnsi="Grundfos TheSans V2"/>
          <w:sz w:val="20"/>
          <w:szCs w:val="20"/>
          <w:lang w:val="es-ES"/>
        </w:rPr>
        <w:t>80  trabajadores</w:t>
      </w:r>
      <w:proofErr w:type="gramEnd"/>
      <w:r w:rsidRPr="001F47C3">
        <w:rPr>
          <w:rFonts w:ascii="Grundfos TheSans V2" w:hAnsi="Grundfos TheSans V2"/>
          <w:sz w:val="20"/>
          <w:szCs w:val="20"/>
          <w:lang w:val="es-ES"/>
        </w:rPr>
        <w:t xml:space="preserve"> y una facturación de 42 millones de euros. </w:t>
      </w:r>
    </w:p>
    <w:p w:rsidR="00A83FD2" w:rsidRPr="001F47C3" w:rsidRDefault="00A83FD2" w:rsidP="00A83FD2">
      <w:pPr>
        <w:rPr>
          <w:rFonts w:ascii="Grundfos TheSans V2" w:hAnsi="Grundfos TheSans V2"/>
          <w:sz w:val="20"/>
          <w:szCs w:val="20"/>
          <w:lang w:val="es-ES"/>
        </w:rPr>
      </w:pPr>
      <w:r w:rsidRPr="001F47C3">
        <w:rPr>
          <w:rFonts w:ascii="Grundfos TheSans V2" w:hAnsi="Grundfos TheSans V2"/>
          <w:sz w:val="20"/>
          <w:szCs w:val="20"/>
          <w:lang w:val="es-ES"/>
        </w:rPr>
        <w:br/>
        <w:t xml:space="preserve">Los valores e ideales básicos de la compañía, propiedad de la Fundación </w:t>
      </w:r>
      <w:proofErr w:type="spellStart"/>
      <w:r w:rsidRPr="001F47C3">
        <w:rPr>
          <w:rFonts w:ascii="Grundfos TheSans V2" w:hAnsi="Grundfos TheSans V2"/>
          <w:sz w:val="20"/>
          <w:szCs w:val="20"/>
          <w:lang w:val="es-ES"/>
        </w:rPr>
        <w:t>Poul</w:t>
      </w:r>
      <w:proofErr w:type="spellEnd"/>
      <w:r w:rsidRPr="001F47C3">
        <w:rPr>
          <w:rFonts w:ascii="Grundfos TheSans V2" w:hAnsi="Grundfos TheSans V2"/>
          <w:sz w:val="20"/>
          <w:szCs w:val="20"/>
          <w:lang w:val="es-ES"/>
        </w:rPr>
        <w:t xml:space="preserve"> </w:t>
      </w:r>
      <w:proofErr w:type="spellStart"/>
      <w:r w:rsidRPr="001F47C3">
        <w:rPr>
          <w:rFonts w:ascii="Grundfos TheSans V2" w:hAnsi="Grundfos TheSans V2"/>
          <w:sz w:val="20"/>
          <w:szCs w:val="20"/>
          <w:lang w:val="es-ES"/>
        </w:rPr>
        <w:t>Due</w:t>
      </w:r>
      <w:proofErr w:type="spellEnd"/>
      <w:r w:rsidRPr="001F47C3">
        <w:rPr>
          <w:rFonts w:ascii="Grundfos TheSans V2" w:hAnsi="Grundfos TheSans V2"/>
          <w:sz w:val="20"/>
          <w:szCs w:val="20"/>
          <w:lang w:val="es-ES"/>
        </w:rPr>
        <w:t xml:space="preserve"> Jensen con sede en </w:t>
      </w:r>
      <w:proofErr w:type="spellStart"/>
      <w:r w:rsidRPr="001F47C3">
        <w:rPr>
          <w:rFonts w:ascii="Grundfos TheSans V2" w:hAnsi="Grundfos TheSans V2"/>
          <w:sz w:val="20"/>
          <w:szCs w:val="20"/>
          <w:lang w:val="es-ES"/>
        </w:rPr>
        <w:t>Bjerringbro</w:t>
      </w:r>
      <w:proofErr w:type="spellEnd"/>
      <w:r w:rsidRPr="001F47C3">
        <w:rPr>
          <w:rFonts w:ascii="Grundfos TheSans V2" w:hAnsi="Grundfos TheSans V2"/>
          <w:sz w:val="20"/>
          <w:szCs w:val="20"/>
          <w:lang w:val="es-ES"/>
        </w:rPr>
        <w:t xml:space="preserve"> (Dinamarca), se reflejan tanto en sus productos como en las relaciones con sus empleados, clientes, la sociedad y el medio ambiente. </w:t>
      </w:r>
    </w:p>
    <w:p w:rsidR="00A83FD2" w:rsidRPr="001F47C3" w:rsidRDefault="00A83FD2" w:rsidP="00A83FD2">
      <w:pPr>
        <w:ind w:left="-720"/>
        <w:jc w:val="center"/>
        <w:rPr>
          <w:rFonts w:ascii="Grundfos TheSans V2" w:hAnsi="Grundfos TheSans V2"/>
          <w:i/>
          <w:sz w:val="20"/>
          <w:szCs w:val="20"/>
          <w:lang w:val="es-ES"/>
        </w:rPr>
      </w:pPr>
    </w:p>
    <w:p w:rsidR="00A83FD2" w:rsidRPr="001F47C3" w:rsidRDefault="00A83FD2" w:rsidP="00A83FD2">
      <w:pPr>
        <w:ind w:left="-720" w:firstLine="720"/>
        <w:rPr>
          <w:rFonts w:ascii="Grundfos TheSans V2" w:hAnsi="Grundfos TheSans V2"/>
          <w:i/>
          <w:sz w:val="20"/>
          <w:szCs w:val="20"/>
          <w:lang w:val="es-ES"/>
        </w:rPr>
      </w:pPr>
      <w:r w:rsidRPr="001F47C3">
        <w:rPr>
          <w:rFonts w:ascii="Grundfos TheSans V2" w:hAnsi="Grundfos TheSans V2"/>
          <w:i/>
          <w:sz w:val="20"/>
          <w:szCs w:val="20"/>
          <w:lang w:val="es-ES"/>
        </w:rPr>
        <w:t xml:space="preserve">                                    Be – </w:t>
      </w:r>
      <w:proofErr w:type="spellStart"/>
      <w:r w:rsidRPr="001F47C3">
        <w:rPr>
          <w:rFonts w:ascii="Grundfos TheSans V2" w:hAnsi="Grundfos TheSans V2"/>
          <w:i/>
          <w:sz w:val="20"/>
          <w:szCs w:val="20"/>
          <w:lang w:val="es-ES"/>
        </w:rPr>
        <w:t>Think</w:t>
      </w:r>
      <w:proofErr w:type="spellEnd"/>
      <w:r w:rsidRPr="001F47C3">
        <w:rPr>
          <w:rFonts w:ascii="Grundfos TheSans V2" w:hAnsi="Grundfos TheSans V2"/>
          <w:i/>
          <w:sz w:val="20"/>
          <w:szCs w:val="20"/>
          <w:lang w:val="es-ES"/>
        </w:rPr>
        <w:t xml:space="preserve"> – </w:t>
      </w:r>
      <w:proofErr w:type="spellStart"/>
      <w:r w:rsidRPr="001F47C3">
        <w:rPr>
          <w:rFonts w:ascii="Grundfos TheSans V2" w:hAnsi="Grundfos TheSans V2"/>
          <w:i/>
          <w:sz w:val="20"/>
          <w:szCs w:val="20"/>
          <w:lang w:val="es-ES"/>
        </w:rPr>
        <w:t>Innovate</w:t>
      </w:r>
      <w:proofErr w:type="spellEnd"/>
    </w:p>
    <w:p w:rsidR="00A83FD2" w:rsidRPr="001F47C3" w:rsidRDefault="00A83FD2" w:rsidP="00A83FD2">
      <w:pPr>
        <w:ind w:left="-720"/>
        <w:jc w:val="both"/>
        <w:rPr>
          <w:rFonts w:ascii="Grundfos TheSans V2" w:hAnsi="Grundfos TheSans V2"/>
          <w:sz w:val="20"/>
          <w:szCs w:val="20"/>
          <w:lang w:val="es-ES"/>
        </w:rPr>
      </w:pPr>
    </w:p>
    <w:p w:rsidR="00A83FD2" w:rsidRPr="001F47C3" w:rsidRDefault="00A83FD2" w:rsidP="00A83FD2">
      <w:pPr>
        <w:ind w:left="-720" w:firstLine="720"/>
        <w:jc w:val="center"/>
        <w:rPr>
          <w:rFonts w:ascii="Grundfos TheSans V2" w:hAnsi="Grundfos TheSans V2"/>
          <w:i/>
          <w:sz w:val="20"/>
          <w:szCs w:val="20"/>
          <w:lang w:val="es-ES"/>
        </w:rPr>
      </w:pPr>
      <w:r w:rsidRPr="001F47C3">
        <w:rPr>
          <w:rFonts w:ascii="Grundfos TheSans V2" w:hAnsi="Grundfos TheSans V2"/>
          <w:i/>
          <w:sz w:val="20"/>
          <w:szCs w:val="20"/>
          <w:lang w:val="es-ES"/>
        </w:rPr>
        <w:t xml:space="preserve"> Ser responsables es nuestra base</w:t>
      </w:r>
    </w:p>
    <w:p w:rsidR="00A83FD2" w:rsidRPr="001F47C3" w:rsidRDefault="00A83FD2" w:rsidP="00A83FD2">
      <w:pPr>
        <w:ind w:left="-720" w:firstLine="720"/>
        <w:jc w:val="center"/>
        <w:rPr>
          <w:rFonts w:ascii="Grundfos TheSans V2" w:hAnsi="Grundfos TheSans V2"/>
          <w:i/>
          <w:sz w:val="20"/>
          <w:szCs w:val="20"/>
          <w:lang w:val="es-ES"/>
        </w:rPr>
      </w:pPr>
      <w:r w:rsidRPr="001F47C3">
        <w:rPr>
          <w:rFonts w:ascii="Grundfos TheSans V2" w:hAnsi="Grundfos TheSans V2"/>
          <w:i/>
          <w:sz w:val="20"/>
          <w:szCs w:val="20"/>
          <w:lang w:val="es-ES"/>
        </w:rPr>
        <w:t xml:space="preserve">Pensar en el futuro lo hace posible </w:t>
      </w:r>
    </w:p>
    <w:p w:rsidR="00A83FD2" w:rsidRPr="001F47C3" w:rsidRDefault="00A83FD2" w:rsidP="00A83FD2">
      <w:pPr>
        <w:ind w:left="-720" w:firstLine="720"/>
        <w:rPr>
          <w:rFonts w:ascii="Grundfos TheSans V2" w:hAnsi="Grundfos TheSans V2"/>
          <w:i/>
          <w:sz w:val="20"/>
          <w:szCs w:val="20"/>
          <w:lang w:val="es-ES"/>
        </w:rPr>
      </w:pPr>
      <w:r w:rsidRPr="001F47C3">
        <w:rPr>
          <w:rFonts w:ascii="Grundfos TheSans V2" w:hAnsi="Grundfos TheSans V2"/>
          <w:i/>
          <w:sz w:val="20"/>
          <w:szCs w:val="20"/>
          <w:lang w:val="es-ES"/>
        </w:rPr>
        <w:t xml:space="preserve">                                La innovación es la esencia</w:t>
      </w: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  <w:r w:rsidRPr="00542227">
        <w:rPr>
          <w:rFonts w:ascii="Grundfos TheSans" w:hAnsi="Grundfos TheSans"/>
          <w:i/>
          <w:szCs w:val="20"/>
          <w:lang w:val="es-ES"/>
        </w:rPr>
        <w:t>Para más información:</w:t>
      </w:r>
      <w:r w:rsidRPr="00542227">
        <w:rPr>
          <w:rFonts w:ascii="Grundfos TheSans" w:hAnsi="Grundfos TheSans"/>
          <w:szCs w:val="20"/>
          <w:lang w:val="es-ES"/>
        </w:rPr>
        <w:br/>
        <w:t>Gema Cobo Cavadilla</w:t>
      </w: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  <w:r w:rsidRPr="00542227">
        <w:rPr>
          <w:rFonts w:ascii="Grundfos TheSans" w:hAnsi="Grundfos TheSans"/>
          <w:szCs w:val="20"/>
          <w:lang w:val="es-ES"/>
        </w:rPr>
        <w:t>Departamento de Marketing</w:t>
      </w: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  <w:r w:rsidRPr="00542227">
        <w:rPr>
          <w:rFonts w:ascii="Grundfos TheSans" w:hAnsi="Grundfos TheSans"/>
          <w:szCs w:val="20"/>
          <w:lang w:val="es-ES"/>
        </w:rPr>
        <w:t xml:space="preserve">Tel.: 91 848 88 40 </w:t>
      </w: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  <w:r w:rsidRPr="00542227">
        <w:rPr>
          <w:rFonts w:ascii="Grundfos TheSans" w:hAnsi="Grundfos TheSans"/>
          <w:szCs w:val="20"/>
          <w:lang w:val="es-ES"/>
        </w:rPr>
        <w:t xml:space="preserve">E-mail: </w:t>
      </w:r>
      <w:hyperlink r:id="rId15" w:history="1">
        <w:r w:rsidRPr="00542227">
          <w:rPr>
            <w:rStyle w:val="Hyperlink"/>
            <w:rFonts w:ascii="Grundfos TheSans" w:hAnsi="Grundfos TheSans"/>
            <w:szCs w:val="20"/>
            <w:lang w:val="es-ES"/>
          </w:rPr>
          <w:t>gcobo@grundfos.com</w:t>
        </w:r>
      </w:hyperlink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</w:p>
    <w:p w:rsidR="00A83FD2" w:rsidRDefault="00A83FD2" w:rsidP="00A83FD2">
      <w:pPr>
        <w:pStyle w:val="BodyText"/>
        <w:jc w:val="center"/>
        <w:rPr>
          <w:rFonts w:ascii="Grundfos TheSans" w:hAnsi="Grundfos TheSans"/>
          <w:szCs w:val="20"/>
          <w:lang w:val="es-ES"/>
        </w:rPr>
      </w:pPr>
      <w:r w:rsidRPr="00542227">
        <w:rPr>
          <w:rFonts w:ascii="Grundfos TheSans" w:hAnsi="Grundfos TheSans"/>
          <w:szCs w:val="20"/>
          <w:lang w:val="es-ES"/>
        </w:rPr>
        <w:t>¡Síguenos en Twitter!</w:t>
      </w:r>
    </w:p>
    <w:p w:rsidR="00A83FD2" w:rsidRPr="00542227" w:rsidRDefault="00A83FD2" w:rsidP="00A83FD2">
      <w:pPr>
        <w:pStyle w:val="BodyText"/>
        <w:rPr>
          <w:rFonts w:ascii="Grundfos TheSans" w:hAnsi="Grundfos TheSans"/>
          <w:szCs w:val="20"/>
          <w:lang w:val="es-ES"/>
        </w:rPr>
      </w:pPr>
    </w:p>
    <w:p w:rsidR="00B63136" w:rsidRPr="000648A0" w:rsidRDefault="00A83FD2" w:rsidP="00A83FD2">
      <w:pPr>
        <w:pStyle w:val="BodyText"/>
        <w:jc w:val="center"/>
        <w:rPr>
          <w:rFonts w:ascii="Calibri" w:hAnsi="Calibri"/>
          <w:i/>
          <w:color w:val="FF0000"/>
        </w:rPr>
      </w:pPr>
      <w:r w:rsidRPr="00542227">
        <w:rPr>
          <w:rFonts w:ascii="Grundfos TheSans" w:hAnsi="Grundfos TheSans"/>
          <w:noProof/>
          <w:szCs w:val="20"/>
          <w:lang w:val="es-ES" w:eastAsia="ja-JP"/>
        </w:rPr>
        <w:drawing>
          <wp:inline distT="0" distB="0" distL="0" distR="0">
            <wp:extent cx="1495425" cy="361950"/>
            <wp:effectExtent l="0" t="0" r="9525" b="0"/>
            <wp:docPr id="7" name="Picture 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136" w:rsidRPr="000648A0">
      <w:headerReference w:type="default" r:id="rId17"/>
      <w:footerReference w:type="default" r:id="rId18"/>
      <w:pgSz w:w="11906" w:h="16838"/>
      <w:pgMar w:top="2268" w:right="1106" w:bottom="2268" w:left="5640" w:header="83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3A" w:rsidRDefault="00E4483A">
      <w:r>
        <w:separator/>
      </w:r>
    </w:p>
  </w:endnote>
  <w:endnote w:type="continuationSeparator" w:id="0">
    <w:p w:rsidR="00E4483A" w:rsidRDefault="00E4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ndfosTheSansV2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ndfos TheSans V2">
    <w:altName w:val="Segoe Script"/>
    <w:panose1 w:val="020B0503040303060204"/>
    <w:charset w:val="00"/>
    <w:family w:val="swiss"/>
    <w:pitch w:val="variable"/>
    <w:sig w:usb0="A00002FF" w:usb1="500064BB" w:usb2="00000000" w:usb3="00000000" w:csb0="0000009F" w:csb1="00000000"/>
  </w:font>
  <w:font w:name="Grundfos TheSans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Grundfos 7B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Grundfos 5R"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ndfosTheSansV2OT-6SB">
    <w:panose1 w:val="020B0602050302020203"/>
    <w:charset w:val="00"/>
    <w:family w:val="swiss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65" w:rsidRDefault="000D2B76">
    <w:pPr>
      <w:pStyle w:val="Footer"/>
      <w:jc w:val="right"/>
      <w:rPr>
        <w:color w:val="FFFFFF"/>
        <w:sz w:val="20"/>
      </w:rPr>
    </w:pPr>
    <w:r>
      <w:rPr>
        <w:noProof/>
        <w:lang w:val="es-E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-3581400</wp:posOffset>
          </wp:positionH>
          <wp:positionV relativeFrom="paragraph">
            <wp:posOffset>-30480</wp:posOffset>
          </wp:positionV>
          <wp:extent cx="7560310" cy="683895"/>
          <wp:effectExtent l="0" t="0" r="2540" b="1905"/>
          <wp:wrapTopAndBottom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A65">
      <w:rPr>
        <w:color w:val="FFFFF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3A" w:rsidRDefault="00E4483A">
      <w:r>
        <w:separator/>
      </w:r>
    </w:p>
  </w:footnote>
  <w:footnote w:type="continuationSeparator" w:id="0">
    <w:p w:rsidR="00E4483A" w:rsidRDefault="00E4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65" w:rsidRPr="00B97088" w:rsidRDefault="000D2B76" w:rsidP="00B97088">
    <w:pPr>
      <w:pStyle w:val="Header"/>
      <w:rPr>
        <w:b/>
        <w:bCs/>
        <w:color w:val="064B86"/>
        <w:sz w:val="28"/>
        <w:szCs w:val="28"/>
      </w:rPr>
    </w:pPr>
    <w:r w:rsidRPr="00B97088">
      <w:rPr>
        <w:noProof/>
        <w:color w:val="064B86"/>
        <w:sz w:val="28"/>
        <w:szCs w:val="28"/>
        <w:lang w:val="es-ES"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678815</wp:posOffset>
              </wp:positionV>
              <wp:extent cx="4265295" cy="8502015"/>
              <wp:effectExtent l="0" t="1905" r="1905" b="190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5295" cy="8502015"/>
                      </a:xfrm>
                      <a:prstGeom prst="rect">
                        <a:avLst/>
                      </a:prstGeom>
                      <a:solidFill>
                        <a:srgbClr val="E5EC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37D20" id="Rectangle 11" o:spid="_x0000_s1026" style="position:absolute;margin-left:-18.75pt;margin-top:53.45pt;width:335.85pt;height:669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X5fgIAAP0EAAAOAAAAZHJzL2Uyb0RvYy54bWysVG1v0zAQ/o7Ef7D8vcuLkq6Jmk5btyKk&#10;ARODH+DaTmPh2MZ2m46J/87ZaUsHfECIfnB9ufPj55678/xq30u049YJrRqcXaQYcUU1E2rT4M+f&#10;VpMZRs4TxYjUijf4iTt8tXj9aj6Ymue605JxiwBEuXowDe68N3WSONrxnrgLbbgCZ6ttTzyYdpMw&#10;SwZA72WSp+k0GbRlxmrKnYOvt6MTLyJ+23LqP7St4x7JBgM3H1cb13VYk8Wc1BtLTCfogQb5BxY9&#10;EQouPUHdEk/Q1orfoHpBrXa69RdU94luW0F5zAGyydJfsnnsiOExFxDHmZNM7v/B0ve7B4sEg9ph&#10;pEgPJfoIohG1kRxlWdBnMK6GsEfzYEOGztxr+sUhpZcdhPFra/XQccKAVYxPXhwIhoOjaD280wzg&#10;ydbrKNW+tX0ABBHQPlbk6VQRvveIwscin5Z5VWJEwTcrUxCpDJwSUh+PG+v8G657FDYNtsA+wpPd&#10;vfNj6DEk0tdSsJWQMhp2s15Ki3YE2uOuvFuu8gO6Ow+TKgQrHY6NiOMXYAl3BF/gG8v9XGV5kd7k&#10;1WQ1nV1OilVRTqrLdDZJs+qmmqZFVdyuvgeCWVF3gjGu7oXix9bLir8r7WEIxqaJzYeGBldlXsbc&#10;X7B350mm8fenJHvhYRKl6EHoUxCpQ2XvFIO0Se2JkOM+eUk/FgQ0OP5HVWIfhNKPLbTW7AnawGoo&#10;EkwivBmw6bT9htEA89dg93VLLMdIvlXQSlVWFGFgo1GUlzkY9tyzPvcQRQGqwR6jcbv045BvjRWb&#10;Dm7KojBKX0P7tSI2RmjNkRXwDgbMWMzg8B6EIT63Y9TPV2vxAwAA//8DAFBLAwQUAAYACAAAACEA&#10;rP8s0N0AAAAMAQAADwAAAGRycy9kb3ducmV2LnhtbEyP0U6DQBBF3038h82Y+NYupYCILI2Y9AOk&#10;fsCWHYGUnUV2S/HvHZ/0ceae3DlTHlY7igVnPzhSsNtGIJBaZwbqFHycjpschA+ajB4doYJv9HCo&#10;7u9KXRh3o3dcmtAJLiFfaAV9CFMhpW97tNpv3YTE2aebrQ48zp00s75xuR1lHEWZtHogvtDrCd96&#10;bC/N1Spo0mQ6LjllddzuLlFdS/NFUqnHh/X1BUTANfzB8KvP6lCx09ldyXgxKtjsn1JGOYiyZxBM&#10;ZPskBnHmTZKkOciqlP+fqH4AAAD//wMAUEsBAi0AFAAGAAgAAAAhALaDOJL+AAAA4QEAABMAAAAA&#10;AAAAAAAAAAAAAAAAAFtDb250ZW50X1R5cGVzXS54bWxQSwECLQAUAAYACAAAACEAOP0h/9YAAACU&#10;AQAACwAAAAAAAAAAAAAAAAAvAQAAX3JlbHMvLnJlbHNQSwECLQAUAAYACAAAACEAv2SF+X4CAAD9&#10;BAAADgAAAAAAAAAAAAAAAAAuAgAAZHJzL2Uyb0RvYy54bWxQSwECLQAUAAYACAAAACEArP8s0N0A&#10;AAAMAQAADwAAAAAAAAAAAAAAAADYBAAAZHJzL2Rvd25yZXYueG1sUEsFBgAAAAAEAAQA8wAAAOIF&#10;AAAAAA==&#10;" fillcolor="#e5ecf2" stroked="f"/>
          </w:pict>
        </mc:Fallback>
      </mc:AlternateContent>
    </w:r>
    <w:r w:rsidR="000A68B2">
      <w:rPr>
        <w:color w:val="064B86"/>
        <w:sz w:val="28"/>
        <w:szCs w:val="28"/>
      </w:rPr>
      <w:t xml:space="preserve">       </w:t>
    </w:r>
    <w:r w:rsidR="008F73FD">
      <w:rPr>
        <w:color w:val="064B86"/>
        <w:sz w:val="28"/>
        <w:szCs w:val="28"/>
      </w:rPr>
      <w:tab/>
      <w:t xml:space="preserve">  </w:t>
    </w:r>
    <w:r w:rsidR="000A68B2">
      <w:rPr>
        <w:color w:val="064B86"/>
        <w:sz w:val="28"/>
        <w:szCs w:val="28"/>
      </w:rPr>
      <w:t xml:space="preserve"> </w:t>
    </w:r>
    <w:r w:rsidR="003E7A65" w:rsidRPr="00B97088">
      <w:rPr>
        <w:color w:val="064B86"/>
        <w:sz w:val="28"/>
        <w:szCs w:val="28"/>
      </w:rPr>
      <w:t xml:space="preserve">GRUNDFOS </w:t>
    </w:r>
    <w:r w:rsidR="004918C5">
      <w:rPr>
        <w:b/>
        <w:bCs/>
        <w:color w:val="064B86"/>
        <w:sz w:val="28"/>
        <w:szCs w:val="28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535"/>
    <w:multiLevelType w:val="hybridMultilevel"/>
    <w:tmpl w:val="6CE86D56"/>
    <w:lvl w:ilvl="0" w:tplc="8C60E194">
      <w:numFmt w:val="bullet"/>
      <w:lvlText w:val="-"/>
      <w:lvlJc w:val="left"/>
      <w:pPr>
        <w:ind w:left="720" w:hanging="360"/>
      </w:pPr>
      <w:rPr>
        <w:rFonts w:ascii="GrundfosTheSansV2" w:eastAsia="Times New Roman" w:hAnsi="GrundfosTheSansV2" w:cs="GrundfosTheSansV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C3C"/>
    <w:multiLevelType w:val="hybridMultilevel"/>
    <w:tmpl w:val="CC022328"/>
    <w:lvl w:ilvl="0" w:tplc="289EB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F46"/>
    <w:multiLevelType w:val="hybridMultilevel"/>
    <w:tmpl w:val="BF4C7AA2"/>
    <w:lvl w:ilvl="0" w:tplc="6A945224">
      <w:numFmt w:val="bullet"/>
      <w:lvlText w:val="•"/>
      <w:lvlJc w:val="left"/>
      <w:pPr>
        <w:ind w:left="720" w:hanging="360"/>
      </w:pPr>
      <w:rPr>
        <w:rFonts w:ascii="Grundfos TheSans V2" w:eastAsia="Times New Roman" w:hAnsi="Grundfos TheSans V2" w:cs="GrundfosTheSansV2" w:hint="default"/>
        <w:color w:val="00000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DDC"/>
    <w:multiLevelType w:val="hybridMultilevel"/>
    <w:tmpl w:val="79C87260"/>
    <w:lvl w:ilvl="0" w:tplc="033EE0AA">
      <w:numFmt w:val="bullet"/>
      <w:lvlText w:val="-"/>
      <w:lvlJc w:val="left"/>
      <w:pPr>
        <w:ind w:left="720" w:hanging="360"/>
      </w:pPr>
      <w:rPr>
        <w:rFonts w:ascii="Grundfos TheSans" w:eastAsia="Times New Roman" w:hAnsi="Grundfos TheSan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59D"/>
    <w:multiLevelType w:val="multilevel"/>
    <w:tmpl w:val="FE2EC670"/>
    <w:lvl w:ilvl="0">
      <w:start w:val="1"/>
      <w:numFmt w:val="decimal"/>
      <w:pStyle w:val="Nummerliste"/>
      <w:isLgl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Nummerliste2"/>
      <w:isLgl/>
      <w:lvlText w:val="%1.%2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5" w15:restartNumberingAfterBreak="0">
    <w:nsid w:val="432C1FB8"/>
    <w:multiLevelType w:val="hybridMultilevel"/>
    <w:tmpl w:val="F7367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F30"/>
    <w:multiLevelType w:val="hybridMultilevel"/>
    <w:tmpl w:val="13A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647"/>
    <w:multiLevelType w:val="hybridMultilevel"/>
    <w:tmpl w:val="530A101E"/>
    <w:lvl w:ilvl="0" w:tplc="54D85F66">
      <w:numFmt w:val="bullet"/>
      <w:lvlText w:val="•"/>
      <w:lvlJc w:val="left"/>
      <w:pPr>
        <w:ind w:left="720" w:hanging="360"/>
      </w:pPr>
      <w:rPr>
        <w:rFonts w:ascii="GrundfosTheSansV2" w:eastAsia="Times New Roman" w:hAnsi="GrundfosTheSansV2" w:cs="GrundfosTheSansV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869"/>
    <w:multiLevelType w:val="hybridMultilevel"/>
    <w:tmpl w:val="08A860BA"/>
    <w:lvl w:ilvl="0" w:tplc="033EE0AA">
      <w:numFmt w:val="bullet"/>
      <w:lvlText w:val="-"/>
      <w:lvlJc w:val="left"/>
      <w:pPr>
        <w:ind w:left="720" w:hanging="360"/>
      </w:pPr>
      <w:rPr>
        <w:rFonts w:ascii="Grundfos TheSans" w:eastAsia="Times New Roman" w:hAnsi="Grundfos TheSan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64b86,#e5ec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B"/>
    <w:rsid w:val="00002CC3"/>
    <w:rsid w:val="00010624"/>
    <w:rsid w:val="00013F07"/>
    <w:rsid w:val="000165D5"/>
    <w:rsid w:val="00025648"/>
    <w:rsid w:val="000267D4"/>
    <w:rsid w:val="000379B2"/>
    <w:rsid w:val="00042410"/>
    <w:rsid w:val="000648A0"/>
    <w:rsid w:val="00065916"/>
    <w:rsid w:val="00066FCE"/>
    <w:rsid w:val="00067528"/>
    <w:rsid w:val="00073830"/>
    <w:rsid w:val="00077B57"/>
    <w:rsid w:val="000940B2"/>
    <w:rsid w:val="00094AE6"/>
    <w:rsid w:val="000A68B2"/>
    <w:rsid w:val="000A6E9F"/>
    <w:rsid w:val="000B071E"/>
    <w:rsid w:val="000B523B"/>
    <w:rsid w:val="000C3656"/>
    <w:rsid w:val="000D2B76"/>
    <w:rsid w:val="000F3919"/>
    <w:rsid w:val="00114F5F"/>
    <w:rsid w:val="00121892"/>
    <w:rsid w:val="00132B11"/>
    <w:rsid w:val="00137526"/>
    <w:rsid w:val="00151224"/>
    <w:rsid w:val="0015348E"/>
    <w:rsid w:val="00181726"/>
    <w:rsid w:val="00186E5F"/>
    <w:rsid w:val="0018760B"/>
    <w:rsid w:val="001915CC"/>
    <w:rsid w:val="001A2923"/>
    <w:rsid w:val="001B431F"/>
    <w:rsid w:val="001B5D8E"/>
    <w:rsid w:val="001B797E"/>
    <w:rsid w:val="001E03E5"/>
    <w:rsid w:val="001F1A4F"/>
    <w:rsid w:val="001F47C3"/>
    <w:rsid w:val="0020344A"/>
    <w:rsid w:val="0021660C"/>
    <w:rsid w:val="002521CA"/>
    <w:rsid w:val="00285638"/>
    <w:rsid w:val="00294FCA"/>
    <w:rsid w:val="002A0CD1"/>
    <w:rsid w:val="002A6469"/>
    <w:rsid w:val="002D1579"/>
    <w:rsid w:val="002D2309"/>
    <w:rsid w:val="002F2F94"/>
    <w:rsid w:val="002F71CC"/>
    <w:rsid w:val="00306CDE"/>
    <w:rsid w:val="00307D50"/>
    <w:rsid w:val="00316AA9"/>
    <w:rsid w:val="00343F02"/>
    <w:rsid w:val="00344454"/>
    <w:rsid w:val="00350CC1"/>
    <w:rsid w:val="00357AB6"/>
    <w:rsid w:val="0036369C"/>
    <w:rsid w:val="00370092"/>
    <w:rsid w:val="003834EA"/>
    <w:rsid w:val="003873D4"/>
    <w:rsid w:val="003902A4"/>
    <w:rsid w:val="003921C9"/>
    <w:rsid w:val="00394F07"/>
    <w:rsid w:val="003B3166"/>
    <w:rsid w:val="003E378C"/>
    <w:rsid w:val="003E7A65"/>
    <w:rsid w:val="00412A0C"/>
    <w:rsid w:val="00420D65"/>
    <w:rsid w:val="004220F5"/>
    <w:rsid w:val="0042343C"/>
    <w:rsid w:val="004247DF"/>
    <w:rsid w:val="00425A31"/>
    <w:rsid w:val="00434DA1"/>
    <w:rsid w:val="00441EC8"/>
    <w:rsid w:val="00451F33"/>
    <w:rsid w:val="004544C8"/>
    <w:rsid w:val="00463710"/>
    <w:rsid w:val="004675D1"/>
    <w:rsid w:val="004918C5"/>
    <w:rsid w:val="00492374"/>
    <w:rsid w:val="004E450D"/>
    <w:rsid w:val="004F3080"/>
    <w:rsid w:val="004F7B63"/>
    <w:rsid w:val="00521654"/>
    <w:rsid w:val="00535617"/>
    <w:rsid w:val="00542227"/>
    <w:rsid w:val="0054581E"/>
    <w:rsid w:val="00552FAC"/>
    <w:rsid w:val="00552FE7"/>
    <w:rsid w:val="00555D7C"/>
    <w:rsid w:val="005644F3"/>
    <w:rsid w:val="00570091"/>
    <w:rsid w:val="00586BD4"/>
    <w:rsid w:val="005A563D"/>
    <w:rsid w:val="005A6243"/>
    <w:rsid w:val="005B0A8F"/>
    <w:rsid w:val="005D3372"/>
    <w:rsid w:val="005E2290"/>
    <w:rsid w:val="005E3435"/>
    <w:rsid w:val="005F0B96"/>
    <w:rsid w:val="006226FA"/>
    <w:rsid w:val="0062592A"/>
    <w:rsid w:val="00637EFF"/>
    <w:rsid w:val="00646104"/>
    <w:rsid w:val="00652530"/>
    <w:rsid w:val="006871BE"/>
    <w:rsid w:val="006A5A75"/>
    <w:rsid w:val="006A784A"/>
    <w:rsid w:val="006B09C3"/>
    <w:rsid w:val="006D0E18"/>
    <w:rsid w:val="006E362F"/>
    <w:rsid w:val="006E5157"/>
    <w:rsid w:val="006F4E5E"/>
    <w:rsid w:val="006F62B7"/>
    <w:rsid w:val="007049E4"/>
    <w:rsid w:val="0071544B"/>
    <w:rsid w:val="00721993"/>
    <w:rsid w:val="00740FC5"/>
    <w:rsid w:val="007655B9"/>
    <w:rsid w:val="00773119"/>
    <w:rsid w:val="00785B60"/>
    <w:rsid w:val="00796FA2"/>
    <w:rsid w:val="007B5FB1"/>
    <w:rsid w:val="007D5A67"/>
    <w:rsid w:val="007F1421"/>
    <w:rsid w:val="00800CCC"/>
    <w:rsid w:val="00802FAA"/>
    <w:rsid w:val="00804554"/>
    <w:rsid w:val="008048D4"/>
    <w:rsid w:val="00807E1A"/>
    <w:rsid w:val="00813E55"/>
    <w:rsid w:val="00814ADB"/>
    <w:rsid w:val="008240E6"/>
    <w:rsid w:val="00827963"/>
    <w:rsid w:val="0083060F"/>
    <w:rsid w:val="00834CA7"/>
    <w:rsid w:val="00843F6C"/>
    <w:rsid w:val="0084618F"/>
    <w:rsid w:val="00856E31"/>
    <w:rsid w:val="00864E28"/>
    <w:rsid w:val="00865FEA"/>
    <w:rsid w:val="008841EB"/>
    <w:rsid w:val="008866ED"/>
    <w:rsid w:val="0088743F"/>
    <w:rsid w:val="00892460"/>
    <w:rsid w:val="008F73FD"/>
    <w:rsid w:val="0090166F"/>
    <w:rsid w:val="00901D75"/>
    <w:rsid w:val="00902277"/>
    <w:rsid w:val="00907F7A"/>
    <w:rsid w:val="00911BFA"/>
    <w:rsid w:val="009252EA"/>
    <w:rsid w:val="00931D8A"/>
    <w:rsid w:val="009355CA"/>
    <w:rsid w:val="00943024"/>
    <w:rsid w:val="009438A8"/>
    <w:rsid w:val="009609DC"/>
    <w:rsid w:val="00977981"/>
    <w:rsid w:val="009864A4"/>
    <w:rsid w:val="009A1EB6"/>
    <w:rsid w:val="009A3EC0"/>
    <w:rsid w:val="009B3884"/>
    <w:rsid w:val="009B49AA"/>
    <w:rsid w:val="009C0361"/>
    <w:rsid w:val="009C318E"/>
    <w:rsid w:val="009C4E70"/>
    <w:rsid w:val="009C5D2B"/>
    <w:rsid w:val="009C68EA"/>
    <w:rsid w:val="009E1281"/>
    <w:rsid w:val="009E1981"/>
    <w:rsid w:val="009E6E2C"/>
    <w:rsid w:val="009F089C"/>
    <w:rsid w:val="00A217C1"/>
    <w:rsid w:val="00A25F8E"/>
    <w:rsid w:val="00A40212"/>
    <w:rsid w:val="00A53141"/>
    <w:rsid w:val="00A60F59"/>
    <w:rsid w:val="00A61A54"/>
    <w:rsid w:val="00A74D24"/>
    <w:rsid w:val="00A83FD2"/>
    <w:rsid w:val="00A85035"/>
    <w:rsid w:val="00AA24B6"/>
    <w:rsid w:val="00AA6D9D"/>
    <w:rsid w:val="00AC124B"/>
    <w:rsid w:val="00AD490C"/>
    <w:rsid w:val="00AE0086"/>
    <w:rsid w:val="00AE1D1F"/>
    <w:rsid w:val="00B01B48"/>
    <w:rsid w:val="00B11112"/>
    <w:rsid w:val="00B31B02"/>
    <w:rsid w:val="00B60FE9"/>
    <w:rsid w:val="00B63136"/>
    <w:rsid w:val="00B80B9F"/>
    <w:rsid w:val="00B93A76"/>
    <w:rsid w:val="00B97088"/>
    <w:rsid w:val="00BC0234"/>
    <w:rsid w:val="00BC03EE"/>
    <w:rsid w:val="00C00E0B"/>
    <w:rsid w:val="00C06D64"/>
    <w:rsid w:val="00C1607C"/>
    <w:rsid w:val="00C23DFB"/>
    <w:rsid w:val="00C50E1D"/>
    <w:rsid w:val="00C676DC"/>
    <w:rsid w:val="00C70C29"/>
    <w:rsid w:val="00C851B6"/>
    <w:rsid w:val="00C91E5A"/>
    <w:rsid w:val="00C94ABF"/>
    <w:rsid w:val="00C954A9"/>
    <w:rsid w:val="00C97B08"/>
    <w:rsid w:val="00CA5054"/>
    <w:rsid w:val="00CB4978"/>
    <w:rsid w:val="00CB6EDF"/>
    <w:rsid w:val="00CC41B6"/>
    <w:rsid w:val="00CD28F4"/>
    <w:rsid w:val="00CD5B4A"/>
    <w:rsid w:val="00D03E0C"/>
    <w:rsid w:val="00D07C1C"/>
    <w:rsid w:val="00D26524"/>
    <w:rsid w:val="00D316E3"/>
    <w:rsid w:val="00D337A1"/>
    <w:rsid w:val="00D33A42"/>
    <w:rsid w:val="00D42363"/>
    <w:rsid w:val="00D51612"/>
    <w:rsid w:val="00D562DF"/>
    <w:rsid w:val="00D729F4"/>
    <w:rsid w:val="00DA5996"/>
    <w:rsid w:val="00DA63C5"/>
    <w:rsid w:val="00DD7CF3"/>
    <w:rsid w:val="00DE4CC2"/>
    <w:rsid w:val="00DF02B8"/>
    <w:rsid w:val="00DF2646"/>
    <w:rsid w:val="00E0263F"/>
    <w:rsid w:val="00E053B6"/>
    <w:rsid w:val="00E11091"/>
    <w:rsid w:val="00E4483A"/>
    <w:rsid w:val="00E60178"/>
    <w:rsid w:val="00E65BAC"/>
    <w:rsid w:val="00E6617F"/>
    <w:rsid w:val="00EA3EA4"/>
    <w:rsid w:val="00EB5A31"/>
    <w:rsid w:val="00EC17AC"/>
    <w:rsid w:val="00EC4BFC"/>
    <w:rsid w:val="00ED07E4"/>
    <w:rsid w:val="00ED7FD1"/>
    <w:rsid w:val="00EE1F5B"/>
    <w:rsid w:val="00EE3E81"/>
    <w:rsid w:val="00EE7532"/>
    <w:rsid w:val="00F15A84"/>
    <w:rsid w:val="00F15DE1"/>
    <w:rsid w:val="00F2440D"/>
    <w:rsid w:val="00F27B3B"/>
    <w:rsid w:val="00F31A1E"/>
    <w:rsid w:val="00F41514"/>
    <w:rsid w:val="00F47530"/>
    <w:rsid w:val="00F56972"/>
    <w:rsid w:val="00F748B2"/>
    <w:rsid w:val="00F77F06"/>
    <w:rsid w:val="00F816AA"/>
    <w:rsid w:val="00F924F0"/>
    <w:rsid w:val="00FC5AB5"/>
    <w:rsid w:val="00FC6FEA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4b86,#e5ecf2"/>
    </o:shapedefaults>
    <o:shapelayout v:ext="edit">
      <o:idmap v:ext="edit" data="1"/>
    </o:shapelayout>
  </w:shapeDefaults>
  <w:decimalSymbol w:val=","/>
  <w:listSeparator w:val=";"/>
  <w15:chartTrackingRefBased/>
  <w15:docId w15:val="{326D57A5-5ED1-4589-A91D-C3C46E5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rundfos TheSans" w:hAnsi="Grundfos TheSans"/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merliste">
    <w:name w:val="Nummerliste"/>
    <w:basedOn w:val="Normal"/>
    <w:pPr>
      <w:numPr>
        <w:numId w:val="1"/>
      </w:numPr>
    </w:pPr>
  </w:style>
  <w:style w:type="paragraph" w:customStyle="1" w:styleId="Nummerliste2">
    <w:name w:val="Nummerliste2"/>
    <w:basedOn w:val="Nummerliste"/>
    <w:pPr>
      <w:numPr>
        <w:ilvl w:val="1"/>
        <w:numId w:val="2"/>
      </w:numPr>
      <w:ind w:left="1071" w:hanging="714"/>
    </w:pPr>
  </w:style>
  <w:style w:type="paragraph" w:customStyle="1" w:styleId="PageNo">
    <w:name w:val="Page No."/>
    <w:basedOn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paragraph" w:customStyle="1" w:styleId="HangingIndent">
    <w:name w:val="Hanging Indent"/>
    <w:basedOn w:val="Normal"/>
    <w:pPr>
      <w:ind w:left="2268" w:hanging="2268"/>
    </w:pPr>
  </w:style>
  <w:style w:type="paragraph" w:customStyle="1" w:styleId="Bottom">
    <w:name w:val="Bottom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character" w:customStyle="1" w:styleId="Headline">
    <w:name w:val="Headline"/>
    <w:rPr>
      <w:rFonts w:ascii="TheSansGrundfos 7B" w:hAnsi="TheSansGrundfos 7B"/>
      <w:color w:val="000000"/>
      <w:spacing w:val="0"/>
      <w:w w:val="100"/>
      <w:position w:val="0"/>
      <w:sz w:val="48"/>
      <w:szCs w:val="48"/>
      <w:u w:val="none"/>
      <w:vertAlign w:val="baseline"/>
    </w:rPr>
  </w:style>
  <w:style w:type="character" w:customStyle="1" w:styleId="Subheading">
    <w:name w:val="Subheading"/>
    <w:rPr>
      <w:rFonts w:ascii="TheSansGrundfos 7B" w:hAnsi="TheSansGrundfos 7B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BodyText1">
    <w:name w:val="Body Text1"/>
    <w:rPr>
      <w:rFonts w:ascii="TheSansGrundfos 5R" w:hAnsi="TheSansGrundfos 5R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BodyHeading">
    <w:name w:val="Body Heading"/>
    <w:rPr>
      <w:rFonts w:ascii="TheSansGrundfos 7B" w:hAnsi="TheSansGrundfos 7B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styleId="BodyTextIndent">
    <w:name w:val="Body Text Indent"/>
    <w:basedOn w:val="Normal"/>
    <w:pPr>
      <w:ind w:left="5040"/>
    </w:pPr>
    <w:rPr>
      <w:rFonts w:ascii="Verdana" w:hAnsi="Verdana"/>
      <w:sz w:val="20"/>
    </w:rPr>
  </w:style>
  <w:style w:type="paragraph" w:styleId="BodyText">
    <w:name w:val="Body Text"/>
    <w:basedOn w:val="Normal"/>
    <w:rPr>
      <w:rFonts w:ascii="Verdana" w:hAnsi="Verdana"/>
      <w:sz w:val="20"/>
      <w:lang w:val="en-US"/>
    </w:rPr>
  </w:style>
  <w:style w:type="paragraph" w:styleId="BodyText2">
    <w:name w:val="Body Text 2"/>
    <w:basedOn w:val="Normal"/>
    <w:rPr>
      <w:rFonts w:ascii="Verdana" w:hAnsi="Verdana"/>
      <w:b/>
      <w:bCs/>
      <w:sz w:val="48"/>
      <w:lang w:val="en-US"/>
    </w:rPr>
  </w:style>
  <w:style w:type="paragraph" w:styleId="BodyText3">
    <w:name w:val="Body Text 3"/>
    <w:basedOn w:val="Normal"/>
    <w:rPr>
      <w:rFonts w:ascii="Verdana" w:hAnsi="Verdana"/>
      <w:sz w:val="18"/>
      <w:lang w:val="en-US"/>
    </w:rPr>
  </w:style>
  <w:style w:type="character" w:styleId="Hyperlink">
    <w:name w:val="Hyperlink"/>
    <w:rsid w:val="007F1421"/>
    <w:rPr>
      <w:color w:val="0000FF"/>
      <w:u w:val="single"/>
    </w:rPr>
  </w:style>
  <w:style w:type="character" w:customStyle="1" w:styleId="hps">
    <w:name w:val="hps"/>
    <w:rsid w:val="00804554"/>
  </w:style>
  <w:style w:type="paragraph" w:styleId="BalloonText">
    <w:name w:val="Balloon Text"/>
    <w:basedOn w:val="Normal"/>
    <w:link w:val="BalloonTextChar"/>
    <w:rsid w:val="0068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1BE"/>
    <w:rPr>
      <w:rFonts w:ascii="Tahoma" w:hAnsi="Tahoma" w:cs="Tahoma"/>
      <w:sz w:val="16"/>
      <w:szCs w:val="16"/>
      <w:lang w:val="da-DK" w:eastAsia="en-US"/>
    </w:rPr>
  </w:style>
  <w:style w:type="paragraph" w:styleId="NormalWeb">
    <w:name w:val="Normal (Web)"/>
    <w:basedOn w:val="Normal"/>
    <w:uiPriority w:val="99"/>
    <w:unhideWhenUsed/>
    <w:rsid w:val="00A83FD2"/>
    <w:pPr>
      <w:spacing w:before="100" w:beforeAutospacing="1" w:after="100" w:afterAutospacing="1"/>
    </w:pPr>
    <w:rPr>
      <w:rFonts w:ascii="Times New Roman" w:hAnsi="Times New Roman"/>
      <w:lang w:val="es-ES" w:eastAsia="ja-JP"/>
    </w:rPr>
  </w:style>
  <w:style w:type="character" w:customStyle="1" w:styleId="apple-converted-space">
    <w:name w:val="apple-converted-space"/>
    <w:basedOn w:val="DefaultParagraphFont"/>
    <w:rsid w:val="00A8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29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dkwcmap10.emea.group.grundfos.com:4502/content/bge/es/products/find-product/circuladoras_ALPHA2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kwcmap10.emea.group.grundfos.com:4502/content/bge/es/products/find-product/circuladoras_ALPHA2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kwcmap10.emea.group.grundfos.com:4502/content/bge/es/products/find-product/circuladoras_ALPHA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cobo@grundfos.com" TargetMode="Externa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kwcmap10.emea.group.grundfos.com:4502/content/bge/es/products/find-product/circuladoras_ALPHA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-Office\Templates\&#197;rslev%20fragt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Årslev fragtbrev.dot</Template>
  <TotalTime>0</TotalTime>
  <Pages>2</Pages>
  <Words>597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Transportør :</vt:lpstr>
    </vt:vector>
  </TitlesOfParts>
  <Company>Grundfos A/S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Transportør :</dc:title>
  <dc:subject/>
  <dc:creator>Henrik Vinter</dc:creator>
  <cp:keywords/>
  <cp:lastModifiedBy>Gema Cobo Cavadilla</cp:lastModifiedBy>
  <cp:revision>5</cp:revision>
  <cp:lastPrinted>2015-01-12T09:31:00Z</cp:lastPrinted>
  <dcterms:created xsi:type="dcterms:W3CDTF">2015-09-03T08:49:00Z</dcterms:created>
  <dcterms:modified xsi:type="dcterms:W3CDTF">2015-09-16T07:34:00Z</dcterms:modified>
</cp:coreProperties>
</file>